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059C5" w14:textId="77777777" w:rsidR="000D62F7" w:rsidRPr="00303D83" w:rsidRDefault="000D62F7" w:rsidP="000D62F7">
      <w:pPr>
        <w:tabs>
          <w:tab w:val="left" w:pos="7797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lang w:eastAsia="en-NZ"/>
        </w:rPr>
      </w:pP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 xml:space="preserve">QUESTION 4 CONSOLIDATION </w:t>
      </w: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ab/>
        <w:t>(25 Marks)</w:t>
      </w:r>
    </w:p>
    <w:p w14:paraId="0DD096BD" w14:textId="77777777" w:rsidR="000D62F7" w:rsidRPr="00303D83" w:rsidRDefault="000D62F7" w:rsidP="000D62F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NZ IFRS 10 defines the parent-subsidiary relationship in terms of control rather than majority ownership. Write down one advantage and one disadvantage of control as the basis for parent-subsidiary relationship. </w:t>
      </w:r>
    </w:p>
    <w:p w14:paraId="16337EAB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jc w:val="right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>(8 marks)</w:t>
      </w:r>
    </w:p>
    <w:p w14:paraId="508F2DD4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jc w:val="right"/>
        <w:rPr>
          <w:rFonts w:ascii="Arial" w:hAnsi="Arial" w:cs="Arial"/>
          <w:color w:val="000000"/>
          <w:szCs w:val="22"/>
          <w:lang w:eastAsia="en-NZ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8449"/>
      </w:tblGrid>
      <w:tr w:rsidR="000D62F7" w:rsidRPr="00303D83" w14:paraId="2080497C" w14:textId="77777777" w:rsidTr="005C0C98">
        <w:tc>
          <w:tcPr>
            <w:tcW w:w="9016" w:type="dxa"/>
          </w:tcPr>
          <w:p w14:paraId="1FDDF157" w14:textId="77777777" w:rsidR="000D62F7" w:rsidRPr="00303D83" w:rsidRDefault="000D62F7" w:rsidP="005C0C98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Arial" w:hAnsi="Arial" w:cs="Arial"/>
                <w:i/>
                <w:iCs/>
                <w:color w:val="000000"/>
                <w:szCs w:val="22"/>
                <w:lang w:eastAsia="en-NZ"/>
              </w:rPr>
            </w:pPr>
            <w:r w:rsidRPr="00303D83">
              <w:rPr>
                <w:rFonts w:ascii="Arial" w:hAnsi="Arial" w:cs="Arial"/>
                <w:i/>
                <w:iCs/>
                <w:color w:val="000000"/>
                <w:szCs w:val="22"/>
                <w:lang w:eastAsia="en-NZ"/>
              </w:rPr>
              <w:t>Answer to question A</w:t>
            </w:r>
          </w:p>
        </w:tc>
      </w:tr>
      <w:tr w:rsidR="000D62F7" w:rsidRPr="00303D83" w14:paraId="04E24917" w14:textId="77777777" w:rsidTr="005C0C98">
        <w:tc>
          <w:tcPr>
            <w:tcW w:w="9016" w:type="dxa"/>
          </w:tcPr>
          <w:p w14:paraId="748FDA55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  <w:p w14:paraId="4DB7E93C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  <w:p w14:paraId="237B9477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  <w:p w14:paraId="56FB61C3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</w:tc>
      </w:tr>
    </w:tbl>
    <w:p w14:paraId="781AA343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color w:val="000000"/>
          <w:szCs w:val="22"/>
          <w:lang w:eastAsia="en-NZ"/>
        </w:rPr>
      </w:pPr>
    </w:p>
    <w:p w14:paraId="30F62C1D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jc w:val="right"/>
        <w:rPr>
          <w:rFonts w:ascii="Arial" w:hAnsi="Arial" w:cs="Arial"/>
          <w:color w:val="000000"/>
          <w:szCs w:val="22"/>
          <w:lang w:eastAsia="en-NZ"/>
        </w:rPr>
      </w:pPr>
    </w:p>
    <w:p w14:paraId="6F07283A" w14:textId="77777777" w:rsidR="000D62F7" w:rsidRPr="00303D83" w:rsidRDefault="000D62F7" w:rsidP="000D62F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Give an example to illustrate how consolidation mitigates financial reporting abuses by the parent. </w:t>
      </w:r>
    </w:p>
    <w:p w14:paraId="009F3528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jc w:val="right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>(5 marks)</w:t>
      </w:r>
    </w:p>
    <w:p w14:paraId="76C6EB36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jc w:val="right"/>
        <w:rPr>
          <w:rFonts w:ascii="Arial" w:hAnsi="Arial" w:cs="Arial"/>
          <w:color w:val="000000"/>
          <w:szCs w:val="22"/>
          <w:lang w:eastAsia="en-NZ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8449"/>
      </w:tblGrid>
      <w:tr w:rsidR="000D62F7" w:rsidRPr="00303D83" w14:paraId="0554DA5C" w14:textId="77777777" w:rsidTr="005C0C98">
        <w:tc>
          <w:tcPr>
            <w:tcW w:w="9016" w:type="dxa"/>
          </w:tcPr>
          <w:p w14:paraId="483A72D9" w14:textId="77777777" w:rsidR="000D62F7" w:rsidRPr="00303D83" w:rsidRDefault="000D62F7" w:rsidP="005C0C98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Arial" w:hAnsi="Arial" w:cs="Arial"/>
                <w:i/>
                <w:iCs/>
                <w:color w:val="000000"/>
                <w:szCs w:val="22"/>
                <w:lang w:eastAsia="en-NZ"/>
              </w:rPr>
            </w:pPr>
            <w:r w:rsidRPr="00303D83">
              <w:rPr>
                <w:rFonts w:ascii="Arial" w:hAnsi="Arial" w:cs="Arial"/>
                <w:i/>
                <w:iCs/>
                <w:color w:val="000000"/>
                <w:szCs w:val="22"/>
                <w:lang w:eastAsia="en-NZ"/>
              </w:rPr>
              <w:t>Answer to question B</w:t>
            </w:r>
          </w:p>
        </w:tc>
      </w:tr>
      <w:tr w:rsidR="000D62F7" w:rsidRPr="00303D83" w14:paraId="5F65BA28" w14:textId="77777777" w:rsidTr="005C0C98">
        <w:tc>
          <w:tcPr>
            <w:tcW w:w="9016" w:type="dxa"/>
          </w:tcPr>
          <w:p w14:paraId="2349A1A3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  <w:p w14:paraId="5ACAB61E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  <w:p w14:paraId="2DB976D0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  <w:p w14:paraId="3F0FE234" w14:textId="77777777" w:rsidR="000D62F7" w:rsidRPr="00303D83" w:rsidRDefault="000D62F7" w:rsidP="005C0C98">
            <w:pPr>
              <w:pStyle w:val="lista"/>
              <w:jc w:val="both"/>
              <w:rPr>
                <w:rFonts w:ascii="Arial" w:hAnsi="Arial" w:cs="Arial"/>
                <w:i/>
                <w:iCs/>
              </w:rPr>
            </w:pPr>
          </w:p>
        </w:tc>
      </w:tr>
    </w:tbl>
    <w:p w14:paraId="5CA3857E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color w:val="000000"/>
          <w:szCs w:val="22"/>
          <w:lang w:eastAsia="en-NZ"/>
        </w:rPr>
      </w:pPr>
    </w:p>
    <w:p w14:paraId="0845215F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jc w:val="right"/>
        <w:rPr>
          <w:rFonts w:ascii="Arial" w:hAnsi="Arial" w:cs="Arial"/>
          <w:color w:val="000000"/>
          <w:szCs w:val="22"/>
          <w:lang w:eastAsia="en-NZ"/>
        </w:rPr>
      </w:pPr>
    </w:p>
    <w:p w14:paraId="5F1DF0E2" w14:textId="77777777" w:rsidR="000D62F7" w:rsidRPr="00303D83" w:rsidRDefault="000D62F7" w:rsidP="000D62F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Q Ltd owns all the share capital of R Ltd. For each of the following intragroup transactions, assume that the consolidation process is being undertaken </w:t>
      </w:r>
      <w:proofErr w:type="gramStart"/>
      <w:r w:rsidRPr="00303D83">
        <w:rPr>
          <w:rFonts w:ascii="Arial" w:hAnsi="Arial" w:cs="Arial"/>
          <w:color w:val="000000"/>
          <w:szCs w:val="22"/>
          <w:lang w:eastAsia="en-NZ"/>
        </w:rPr>
        <w:t>at</w:t>
      </w:r>
      <w:proofErr w:type="gramEnd"/>
      <w:r w:rsidRPr="00303D83">
        <w:rPr>
          <w:rFonts w:ascii="Arial" w:hAnsi="Arial" w:cs="Arial"/>
          <w:color w:val="000000"/>
          <w:szCs w:val="22"/>
          <w:lang w:eastAsia="en-NZ"/>
        </w:rPr>
        <w:t xml:space="preserve"> 30 June 20X1, and that an income tax rate of 30% applies. The two transactions are independent.</w:t>
      </w:r>
    </w:p>
    <w:p w14:paraId="1AAEF0DC" w14:textId="77777777" w:rsidR="000D62F7" w:rsidRPr="00303D83" w:rsidRDefault="000D62F7" w:rsidP="000D62F7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color w:val="000000"/>
          <w:szCs w:val="22"/>
          <w:lang w:eastAsia="en-NZ"/>
        </w:rPr>
      </w:pPr>
    </w:p>
    <w:p w14:paraId="445AEAD5" w14:textId="77777777" w:rsidR="000D62F7" w:rsidRPr="00303D83" w:rsidRDefault="000D62F7" w:rsidP="000D62F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993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>On 1 January 20X1, Q Ltd sold an item of plant to R Ltd for $1000. Immediately before the sale, Q Ltd had the item of plant on its accounts for $1500. Q Ltd depreciated items at 5% p.a. on the diminishing balance and R Ltd used the straight-line method over 10 years.</w:t>
      </w:r>
    </w:p>
    <w:p w14:paraId="6EEFCF15" w14:textId="77777777" w:rsidR="000D62F7" w:rsidRPr="00303D83" w:rsidRDefault="000D62F7" w:rsidP="000D62F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993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>On 1 May 20X1, R Ltd sold inventory costing $200 to Q Ltd for $400 on credit. On 30 June 20X1, only half of these goods had been sold by Q Ltd, but Q Ltd had paid $300 back to R Ltd.</w:t>
      </w:r>
    </w:p>
    <w:p w14:paraId="00E85371" w14:textId="77777777" w:rsidR="000D62F7" w:rsidRPr="00303D83" w:rsidRDefault="000D62F7" w:rsidP="000D62F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lang w:eastAsia="en-NZ"/>
        </w:rPr>
      </w:pP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>Required</w:t>
      </w:r>
    </w:p>
    <w:p w14:paraId="6BD5BE6F" w14:textId="77777777" w:rsidR="000D62F7" w:rsidRPr="00303D83" w:rsidRDefault="000D62F7" w:rsidP="000D62F7">
      <w:pPr>
        <w:tabs>
          <w:tab w:val="left" w:pos="7938"/>
        </w:tabs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Prepare the consolidation worksheet adjustment entries for these transactions.</w:t>
      </w:r>
    </w:p>
    <w:p w14:paraId="01F7A4DC" w14:textId="77777777" w:rsidR="000D62F7" w:rsidRPr="00303D83" w:rsidRDefault="000D62F7" w:rsidP="000D62F7">
      <w:pPr>
        <w:tabs>
          <w:tab w:val="left" w:pos="7938"/>
        </w:tabs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(12 marks)</w:t>
      </w:r>
    </w:p>
    <w:p w14:paraId="147C4698" w14:textId="77777777" w:rsidR="000D62F7" w:rsidRPr="00303D83" w:rsidRDefault="000D62F7" w:rsidP="000D62F7">
      <w:pPr>
        <w:pStyle w:val="lista"/>
        <w:ind w:left="720"/>
        <w:jc w:val="both"/>
        <w:rPr>
          <w:rFonts w:ascii="Arial" w:hAnsi="Arial" w:cs="Arial"/>
          <w:i/>
          <w:iCs/>
        </w:rPr>
      </w:pPr>
    </w:p>
    <w:p w14:paraId="7EACF14F" w14:textId="77777777" w:rsidR="000D62F7" w:rsidRPr="00303D83" w:rsidRDefault="000D62F7" w:rsidP="000D62F7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677"/>
        <w:gridCol w:w="727"/>
        <w:gridCol w:w="1559"/>
        <w:gridCol w:w="1560"/>
      </w:tblGrid>
      <w:tr w:rsidR="000D62F7" w:rsidRPr="00303D83" w14:paraId="1744B45C" w14:textId="77777777" w:rsidTr="005C0C98">
        <w:tc>
          <w:tcPr>
            <w:tcW w:w="8505" w:type="dxa"/>
            <w:gridSpan w:val="4"/>
          </w:tcPr>
          <w:p w14:paraId="4BB26E77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Answer to question C. Intra-group transaction</w:t>
            </w:r>
          </w:p>
        </w:tc>
      </w:tr>
      <w:tr w:rsidR="000D62F7" w:rsidRPr="00303D83" w14:paraId="46DB4FA8" w14:textId="77777777" w:rsidTr="005C0C98">
        <w:tc>
          <w:tcPr>
            <w:tcW w:w="4677" w:type="dxa"/>
          </w:tcPr>
          <w:p w14:paraId="41C7DAD4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Consolidation adjustment entries for a</w:t>
            </w:r>
          </w:p>
        </w:tc>
        <w:tc>
          <w:tcPr>
            <w:tcW w:w="709" w:type="dxa"/>
          </w:tcPr>
          <w:p w14:paraId="2B22D3B4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Dr/Cr</w:t>
            </w:r>
          </w:p>
        </w:tc>
        <w:tc>
          <w:tcPr>
            <w:tcW w:w="1559" w:type="dxa"/>
          </w:tcPr>
          <w:p w14:paraId="72206E50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6134EFAB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767C4573" w14:textId="77777777" w:rsidTr="005C0C98">
        <w:tc>
          <w:tcPr>
            <w:tcW w:w="4677" w:type="dxa"/>
          </w:tcPr>
          <w:p w14:paraId="668BC662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1B467C17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7A1333B4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4DB366D1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74EAC544" w14:textId="77777777" w:rsidTr="005C0C98">
        <w:tc>
          <w:tcPr>
            <w:tcW w:w="4677" w:type="dxa"/>
          </w:tcPr>
          <w:p w14:paraId="188151B4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342822DC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02CE1BCE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380D650F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4494413B" w14:textId="77777777" w:rsidTr="005C0C98">
        <w:tc>
          <w:tcPr>
            <w:tcW w:w="4677" w:type="dxa"/>
          </w:tcPr>
          <w:p w14:paraId="6D9ECA38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7FC0C4BF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2148BDB6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7EA2BF5D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732D3302" w14:textId="77777777" w:rsidTr="005C0C98">
        <w:tc>
          <w:tcPr>
            <w:tcW w:w="4677" w:type="dxa"/>
          </w:tcPr>
          <w:p w14:paraId="06974463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7427362B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1F561645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44A11847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6506BE75" w14:textId="77777777" w:rsidTr="005C0C98">
        <w:tc>
          <w:tcPr>
            <w:tcW w:w="4677" w:type="dxa"/>
          </w:tcPr>
          <w:p w14:paraId="280ABE0D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Consolidation adjustment entries for b</w:t>
            </w:r>
          </w:p>
        </w:tc>
        <w:tc>
          <w:tcPr>
            <w:tcW w:w="709" w:type="dxa"/>
          </w:tcPr>
          <w:p w14:paraId="3F29C8F9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Dr/Cr</w:t>
            </w:r>
          </w:p>
        </w:tc>
        <w:tc>
          <w:tcPr>
            <w:tcW w:w="1559" w:type="dxa"/>
          </w:tcPr>
          <w:p w14:paraId="410FC08A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145A3DEF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669ECADD" w14:textId="77777777" w:rsidTr="005C0C98">
        <w:tc>
          <w:tcPr>
            <w:tcW w:w="4677" w:type="dxa"/>
          </w:tcPr>
          <w:p w14:paraId="4EC57707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0874304C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6C6D8489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40826D10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12CD7EB8" w14:textId="77777777" w:rsidTr="005C0C98">
        <w:tc>
          <w:tcPr>
            <w:tcW w:w="4677" w:type="dxa"/>
          </w:tcPr>
          <w:p w14:paraId="74D96822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537CD71D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775549A0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1DF67404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0D62F7" w:rsidRPr="00303D83" w14:paraId="4C09A9E3" w14:textId="77777777" w:rsidTr="005C0C98">
        <w:tc>
          <w:tcPr>
            <w:tcW w:w="4677" w:type="dxa"/>
          </w:tcPr>
          <w:p w14:paraId="70831456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9" w:type="dxa"/>
          </w:tcPr>
          <w:p w14:paraId="6FB0099F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59" w:type="dxa"/>
          </w:tcPr>
          <w:p w14:paraId="4F6E05A2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0" w:type="dxa"/>
          </w:tcPr>
          <w:p w14:paraId="4ADAEED8" w14:textId="77777777" w:rsidR="000D62F7" w:rsidRPr="00303D83" w:rsidRDefault="000D62F7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</w:tbl>
    <w:p w14:paraId="29C74601" w14:textId="77777777" w:rsidR="000D62F7" w:rsidRPr="00303D83" w:rsidRDefault="000D62F7" w:rsidP="000D62F7">
      <w:pPr>
        <w:pStyle w:val="NoSpacing"/>
        <w:rPr>
          <w:rFonts w:ascii="Arial" w:hAnsi="Arial" w:cs="Arial"/>
        </w:rPr>
      </w:pPr>
    </w:p>
    <w:p w14:paraId="5CD5545A" w14:textId="77777777" w:rsidR="000D62F7" w:rsidRPr="00930458" w:rsidRDefault="000D62F7" w:rsidP="000D62F7">
      <w:pPr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i/>
          <w:iCs/>
          <w:color w:val="000000"/>
          <w:lang w:eastAsia="en-NZ"/>
        </w:rPr>
      </w:pPr>
      <w:r w:rsidRPr="00930458">
        <w:rPr>
          <w:rFonts w:ascii="Arial" w:hAnsi="Arial" w:cs="Arial"/>
          <w:i/>
          <w:iCs/>
          <w:color w:val="000000"/>
          <w:lang w:eastAsia="en-NZ"/>
        </w:rPr>
        <w:t>(Note: You may increase/decrease the number of rows to complete your journal entries.)</w:t>
      </w:r>
    </w:p>
    <w:p w14:paraId="73B5341C" w14:textId="77777777" w:rsidR="00255870" w:rsidRDefault="00255870"/>
    <w:sectPr w:rsidR="00255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81B4F"/>
    <w:multiLevelType w:val="hybridMultilevel"/>
    <w:tmpl w:val="990839E2"/>
    <w:lvl w:ilvl="0" w:tplc="14090015">
      <w:start w:val="1"/>
      <w:numFmt w:val="upp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B0FB8"/>
    <w:multiLevelType w:val="hybridMultilevel"/>
    <w:tmpl w:val="6B1A540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F7"/>
    <w:rsid w:val="000D62F7"/>
    <w:rsid w:val="0025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DA74"/>
  <w15:chartTrackingRefBased/>
  <w15:docId w15:val="{C12F0A3B-F654-4698-9A7B-E79E69E9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NZ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2F7"/>
    <w:rPr>
      <w:rFonts w:eastAsiaTheme="minorHAnsi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2F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8"/>
      <w:lang w:eastAsia="zh-TW" w:bidi="th-TH"/>
    </w:rPr>
  </w:style>
  <w:style w:type="paragraph" w:styleId="NoSpacing">
    <w:name w:val="No Spacing"/>
    <w:uiPriority w:val="1"/>
    <w:qFormat/>
    <w:rsid w:val="000D62F7"/>
    <w:pPr>
      <w:spacing w:after="0" w:line="240" w:lineRule="auto"/>
    </w:pPr>
    <w:rPr>
      <w:rFonts w:ascii="Calibri" w:eastAsia="Calibri" w:hAnsi="Calibri" w:cs="Times New Roman"/>
      <w:color w:val="000000"/>
      <w:spacing w:val="-3"/>
      <w:szCs w:val="22"/>
      <w:lang w:eastAsia="en-US" w:bidi="ar-SA"/>
    </w:rPr>
  </w:style>
  <w:style w:type="paragraph" w:customStyle="1" w:styleId="lista">
    <w:name w:val="lista"/>
    <w:basedOn w:val="Normal"/>
    <w:rsid w:val="000D6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color w:val="000000"/>
      <w:spacing w:val="-3"/>
      <w:lang w:eastAsia="en-NZ"/>
    </w:rPr>
  </w:style>
  <w:style w:type="table" w:styleId="TableGrid">
    <w:name w:val="Table Grid"/>
    <w:basedOn w:val="TableNormal"/>
    <w:uiPriority w:val="39"/>
    <w:rsid w:val="000D62F7"/>
    <w:pPr>
      <w:spacing w:after="0" w:line="240" w:lineRule="auto"/>
    </w:pPr>
    <w:rPr>
      <w:rFonts w:eastAsiaTheme="minorHAns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</dc:creator>
  <cp:keywords/>
  <dc:description/>
  <cp:lastModifiedBy>Esther</cp:lastModifiedBy>
  <cp:revision>1</cp:revision>
  <dcterms:created xsi:type="dcterms:W3CDTF">2020-10-07T02:06:00Z</dcterms:created>
  <dcterms:modified xsi:type="dcterms:W3CDTF">2020-10-07T02:06:00Z</dcterms:modified>
</cp:coreProperties>
</file>